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16" w:rsidRPr="007968CA" w:rsidRDefault="007968CA" w:rsidP="007968CA">
      <w:pPr>
        <w:jc w:val="center"/>
        <w:rPr>
          <w:rFonts w:ascii="Times New Roman" w:hAnsi="Times New Roman" w:cs="Times New Roman"/>
          <w:b/>
          <w:sz w:val="28"/>
          <w:szCs w:val="28"/>
          <w:lang w:val="ru-RU"/>
        </w:rPr>
      </w:pPr>
      <w:r w:rsidRPr="007968CA">
        <w:rPr>
          <w:rFonts w:ascii="Times New Roman" w:hAnsi="Times New Roman" w:cs="Times New Roman"/>
          <w:b/>
          <w:sz w:val="28"/>
          <w:szCs w:val="28"/>
          <w:lang w:val="ru-RU"/>
        </w:rPr>
        <w:t>Информация для поступающих на цикл «Декоративно прикладное искусство и народные промыслы»</w:t>
      </w:r>
    </w:p>
    <w:p w:rsidR="007968CA" w:rsidRPr="007968CA" w:rsidRDefault="007968CA" w:rsidP="007968CA">
      <w:pPr>
        <w:jc w:val="both"/>
        <w:rPr>
          <w:rFonts w:ascii="Times New Roman" w:hAnsi="Times New Roman" w:cs="Times New Roman"/>
          <w:sz w:val="28"/>
          <w:szCs w:val="28"/>
          <w:lang w:val="ru-RU"/>
        </w:rPr>
      </w:pPr>
      <w:r w:rsidRPr="007968CA">
        <w:rPr>
          <w:rFonts w:ascii="Times New Roman" w:hAnsi="Times New Roman" w:cs="Times New Roman"/>
          <w:sz w:val="28"/>
          <w:szCs w:val="28"/>
          <w:lang w:val="ru-RU"/>
        </w:rPr>
        <w:t xml:space="preserve">По специальности </w:t>
      </w:r>
      <w:r w:rsidRPr="007968CA">
        <w:rPr>
          <w:rFonts w:ascii="Times New Roman" w:hAnsi="Times New Roman" w:cs="Times New Roman"/>
          <w:sz w:val="28"/>
          <w:szCs w:val="28"/>
          <w:lang w:val="ru-RU"/>
        </w:rPr>
        <w:t>«Декоративно прикладное искусство и народные промыслы»</w:t>
      </w:r>
      <w:r w:rsidRPr="007968CA">
        <w:rPr>
          <w:rFonts w:ascii="Times New Roman" w:hAnsi="Times New Roman" w:cs="Times New Roman"/>
          <w:sz w:val="28"/>
          <w:szCs w:val="28"/>
          <w:lang w:val="ru-RU"/>
        </w:rPr>
        <w:t xml:space="preserve"> </w:t>
      </w:r>
      <w:r w:rsidRPr="007968CA">
        <w:rPr>
          <w:rFonts w:ascii="Times New Roman" w:hAnsi="Times New Roman" w:cs="Times New Roman"/>
          <w:sz w:val="28"/>
          <w:szCs w:val="28"/>
          <w:lang w:val="ru-RU"/>
        </w:rPr>
        <w:t xml:space="preserve">реализуется </w:t>
      </w:r>
      <w:r w:rsidRPr="007968CA">
        <w:rPr>
          <w:rFonts w:ascii="Times New Roman" w:hAnsi="Times New Roman" w:cs="Times New Roman"/>
          <w:sz w:val="28"/>
          <w:szCs w:val="28"/>
          <w:lang w:val="ru-RU"/>
        </w:rPr>
        <w:t xml:space="preserve">подготовка </w:t>
      </w:r>
      <w:r w:rsidR="00AC4FC4">
        <w:rPr>
          <w:rFonts w:ascii="Times New Roman" w:hAnsi="Times New Roman" w:cs="Times New Roman"/>
          <w:sz w:val="28"/>
          <w:szCs w:val="28"/>
          <w:lang w:val="ru-RU"/>
        </w:rPr>
        <w:t>специалистов среднего звена</w:t>
      </w:r>
      <w:r w:rsidRPr="007968CA">
        <w:rPr>
          <w:rFonts w:ascii="Times New Roman" w:hAnsi="Times New Roman" w:cs="Times New Roman"/>
          <w:sz w:val="28"/>
          <w:szCs w:val="28"/>
          <w:lang w:val="ru-RU"/>
        </w:rPr>
        <w:t xml:space="preserve"> </w:t>
      </w:r>
      <w:r w:rsidRPr="007968CA">
        <w:rPr>
          <w:rFonts w:ascii="Times New Roman" w:hAnsi="Times New Roman" w:cs="Times New Roman"/>
          <w:sz w:val="28"/>
          <w:szCs w:val="28"/>
          <w:lang w:val="ru-RU"/>
        </w:rPr>
        <w:t>по следующим уровням квалификации:</w:t>
      </w:r>
    </w:p>
    <w:p w:rsidR="007968CA" w:rsidRPr="007968CA" w:rsidRDefault="007968CA" w:rsidP="007968CA">
      <w:pPr>
        <w:spacing w:after="0"/>
        <w:jc w:val="both"/>
        <w:rPr>
          <w:rFonts w:ascii="Times New Roman" w:hAnsi="Times New Roman" w:cs="Times New Roman"/>
          <w:sz w:val="28"/>
          <w:szCs w:val="28"/>
          <w:lang w:val="ru-RU"/>
        </w:rPr>
      </w:pPr>
      <w:r w:rsidRPr="007968CA">
        <w:rPr>
          <w:rFonts w:ascii="Times New Roman" w:hAnsi="Times New Roman" w:cs="Times New Roman"/>
          <w:sz w:val="28"/>
          <w:szCs w:val="28"/>
          <w:lang w:val="ru-RU"/>
        </w:rPr>
        <w:t xml:space="preserve">- </w:t>
      </w:r>
      <w:proofErr w:type="gramStart"/>
      <w:r w:rsidRPr="007968CA">
        <w:rPr>
          <w:rFonts w:ascii="Times New Roman" w:hAnsi="Times New Roman" w:cs="Times New Roman"/>
          <w:sz w:val="28"/>
          <w:szCs w:val="28"/>
          <w:lang w:val="ru-RU"/>
        </w:rPr>
        <w:t>Художник  художественного</w:t>
      </w:r>
      <w:proofErr w:type="gramEnd"/>
      <w:r w:rsidRPr="007968CA">
        <w:rPr>
          <w:rFonts w:ascii="Times New Roman" w:hAnsi="Times New Roman" w:cs="Times New Roman"/>
          <w:sz w:val="28"/>
          <w:szCs w:val="28"/>
          <w:lang w:val="ru-RU"/>
        </w:rPr>
        <w:t xml:space="preserve"> ткачества</w:t>
      </w:r>
    </w:p>
    <w:p w:rsidR="007968CA" w:rsidRPr="007968CA" w:rsidRDefault="007968CA" w:rsidP="007968CA">
      <w:pPr>
        <w:spacing w:after="0"/>
        <w:jc w:val="both"/>
        <w:rPr>
          <w:rFonts w:ascii="Times New Roman" w:hAnsi="Times New Roman" w:cs="Times New Roman"/>
          <w:sz w:val="28"/>
          <w:szCs w:val="28"/>
          <w:lang w:val="ru-RU"/>
        </w:rPr>
      </w:pPr>
      <w:r w:rsidRPr="007968CA">
        <w:rPr>
          <w:rFonts w:ascii="Times New Roman" w:hAnsi="Times New Roman" w:cs="Times New Roman"/>
          <w:sz w:val="28"/>
          <w:szCs w:val="28"/>
          <w:lang w:val="ru-RU"/>
        </w:rPr>
        <w:t xml:space="preserve">- </w:t>
      </w:r>
      <w:proofErr w:type="gramStart"/>
      <w:r w:rsidRPr="007968CA">
        <w:rPr>
          <w:rFonts w:ascii="Times New Roman" w:hAnsi="Times New Roman" w:cs="Times New Roman"/>
          <w:sz w:val="28"/>
          <w:szCs w:val="28"/>
          <w:lang w:val="ru-RU"/>
        </w:rPr>
        <w:t>Художник  художественной</w:t>
      </w:r>
      <w:proofErr w:type="gramEnd"/>
      <w:r w:rsidRPr="007968CA">
        <w:rPr>
          <w:rFonts w:ascii="Times New Roman" w:hAnsi="Times New Roman" w:cs="Times New Roman"/>
          <w:sz w:val="28"/>
          <w:szCs w:val="28"/>
          <w:lang w:val="ru-RU"/>
        </w:rPr>
        <w:t xml:space="preserve"> обработки металла</w:t>
      </w:r>
    </w:p>
    <w:p w:rsidR="007968CA" w:rsidRDefault="007968CA" w:rsidP="007968CA">
      <w:pPr>
        <w:spacing w:after="0"/>
        <w:jc w:val="both"/>
        <w:rPr>
          <w:rFonts w:ascii="Times New Roman" w:hAnsi="Times New Roman" w:cs="Times New Roman"/>
          <w:sz w:val="28"/>
          <w:szCs w:val="28"/>
          <w:lang w:val="ru-RU"/>
        </w:rPr>
      </w:pPr>
      <w:r w:rsidRPr="007968CA">
        <w:rPr>
          <w:rFonts w:ascii="Times New Roman" w:hAnsi="Times New Roman" w:cs="Times New Roman"/>
          <w:sz w:val="28"/>
          <w:szCs w:val="28"/>
          <w:lang w:val="ru-RU"/>
        </w:rPr>
        <w:t>- Художник   художественной обработки дерева</w:t>
      </w:r>
    </w:p>
    <w:p w:rsidR="007968CA" w:rsidRDefault="007968CA" w:rsidP="007968CA">
      <w:pPr>
        <w:spacing w:after="0"/>
        <w:jc w:val="both"/>
        <w:rPr>
          <w:rFonts w:ascii="Times New Roman" w:hAnsi="Times New Roman" w:cs="Times New Roman"/>
          <w:sz w:val="28"/>
          <w:szCs w:val="28"/>
          <w:lang w:val="ru-RU"/>
        </w:rPr>
      </w:pPr>
      <w:bookmarkStart w:id="0" w:name="_GoBack"/>
      <w:bookmarkEnd w:id="0"/>
    </w:p>
    <w:p w:rsidR="007968CA" w:rsidRPr="00D93C8D" w:rsidRDefault="007968CA" w:rsidP="007968CA">
      <w:pPr>
        <w:jc w:val="both"/>
        <w:rPr>
          <w:rFonts w:ascii="Times New Roman" w:hAnsi="Times New Roman" w:cs="Times New Roman"/>
          <w:sz w:val="28"/>
          <w:szCs w:val="24"/>
          <w:lang w:val="ru-RU"/>
        </w:rPr>
      </w:pPr>
      <w:proofErr w:type="gramStart"/>
      <w:r w:rsidRPr="00D93C8D">
        <w:rPr>
          <w:rFonts w:ascii="Times New Roman" w:hAnsi="Times New Roman" w:cs="Times New Roman"/>
          <w:sz w:val="28"/>
          <w:szCs w:val="24"/>
          <w:lang w:val="ru-RU"/>
        </w:rPr>
        <w:t>В  структуре</w:t>
      </w:r>
      <w:proofErr w:type="gramEnd"/>
      <w:r w:rsidRPr="00D93C8D">
        <w:rPr>
          <w:rFonts w:ascii="Times New Roman" w:hAnsi="Times New Roman" w:cs="Times New Roman"/>
          <w:sz w:val="28"/>
          <w:szCs w:val="24"/>
          <w:lang w:val="ru-RU"/>
        </w:rPr>
        <w:t xml:space="preserve"> образовательной программы студенты в первую очередь развивают базовые навыки, обязательные  для всех. Так как колледж квалифицируется на искусстве, то есть обще профильные дисциплины, обучающиеся по всем художественным специальностям, такие как рисунок, живопись, пластическая анатомия, пленэр, шрифт, Изобразительное искусство Казахстана, все виды практик.</w:t>
      </w:r>
    </w:p>
    <w:tbl>
      <w:tblPr>
        <w:tblStyle w:val="a3"/>
        <w:tblpPr w:leftFromText="180" w:rightFromText="180" w:vertAnchor="text" w:horzAnchor="margin" w:tblpY="714"/>
        <w:tblW w:w="9918" w:type="dxa"/>
        <w:tblLook w:val="04A0" w:firstRow="1" w:lastRow="0" w:firstColumn="1" w:lastColumn="0" w:noHBand="0" w:noVBand="1"/>
      </w:tblPr>
      <w:tblGrid>
        <w:gridCol w:w="5098"/>
        <w:gridCol w:w="4820"/>
      </w:tblGrid>
      <w:tr w:rsidR="007968CA" w:rsidRPr="00D93C8D" w:rsidTr="00107C7F">
        <w:tc>
          <w:tcPr>
            <w:tcW w:w="5098" w:type="dxa"/>
          </w:tcPr>
          <w:p w:rsidR="007968CA" w:rsidRPr="00D93C8D" w:rsidRDefault="007968CA" w:rsidP="00107C7F">
            <w:pPr>
              <w:jc w:val="both"/>
              <w:rPr>
                <w:rFonts w:ascii="Times New Roman" w:hAnsi="Times New Roman" w:cs="Times New Roman"/>
                <w:b/>
                <w:sz w:val="28"/>
                <w:szCs w:val="24"/>
                <w:lang w:val="ru-RU"/>
              </w:rPr>
            </w:pPr>
            <w:r w:rsidRPr="00D93C8D">
              <w:rPr>
                <w:rFonts w:ascii="Times New Roman" w:hAnsi="Times New Roman" w:cs="Times New Roman"/>
                <w:b/>
                <w:sz w:val="28"/>
                <w:szCs w:val="24"/>
                <w:lang w:val="ru-RU"/>
              </w:rPr>
              <w:t>Обще профильные дисциплины</w:t>
            </w:r>
          </w:p>
        </w:tc>
        <w:tc>
          <w:tcPr>
            <w:tcW w:w="4820" w:type="dxa"/>
          </w:tcPr>
          <w:p w:rsidR="007968CA" w:rsidRPr="00D93C8D" w:rsidRDefault="007968CA" w:rsidP="007968CA">
            <w:pPr>
              <w:jc w:val="both"/>
              <w:rPr>
                <w:rFonts w:ascii="Times New Roman" w:hAnsi="Times New Roman" w:cs="Times New Roman"/>
                <w:b/>
                <w:sz w:val="28"/>
                <w:szCs w:val="24"/>
                <w:lang w:val="ru-RU"/>
              </w:rPr>
            </w:pPr>
            <w:r w:rsidRPr="00D93C8D">
              <w:rPr>
                <w:rFonts w:ascii="Times New Roman" w:hAnsi="Times New Roman" w:cs="Times New Roman"/>
                <w:b/>
                <w:sz w:val="28"/>
                <w:szCs w:val="24"/>
                <w:lang w:val="ru-RU"/>
              </w:rPr>
              <w:t>Специальные дисциплины</w:t>
            </w:r>
            <w:r w:rsidRPr="00D93C8D">
              <w:rPr>
                <w:rFonts w:ascii="Times New Roman" w:hAnsi="Times New Roman" w:cs="Times New Roman"/>
                <w:b/>
                <w:sz w:val="28"/>
                <w:szCs w:val="24"/>
                <w:lang w:val="ru-RU"/>
              </w:rPr>
              <w:t xml:space="preserve"> </w:t>
            </w:r>
          </w:p>
        </w:tc>
      </w:tr>
      <w:tr w:rsidR="007968CA" w:rsidRPr="00D93C8D" w:rsidTr="00107C7F">
        <w:tc>
          <w:tcPr>
            <w:tcW w:w="5098" w:type="dxa"/>
          </w:tcPr>
          <w:p w:rsidR="007968CA" w:rsidRPr="00D93C8D" w:rsidRDefault="007968CA" w:rsidP="00107C7F">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Рисунок</w:t>
            </w:r>
          </w:p>
        </w:tc>
        <w:tc>
          <w:tcPr>
            <w:tcW w:w="4820" w:type="dxa"/>
          </w:tcPr>
          <w:p w:rsidR="007968CA" w:rsidRPr="00D93C8D" w:rsidRDefault="007968CA" w:rsidP="00107C7F">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Композиция</w:t>
            </w:r>
          </w:p>
        </w:tc>
      </w:tr>
      <w:tr w:rsidR="007968CA" w:rsidRPr="00D93C8D" w:rsidTr="00107C7F">
        <w:tc>
          <w:tcPr>
            <w:tcW w:w="5098" w:type="dxa"/>
          </w:tcPr>
          <w:p w:rsidR="007968CA" w:rsidRPr="00D93C8D" w:rsidRDefault="007968CA" w:rsidP="00107C7F">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Живопись</w:t>
            </w:r>
          </w:p>
        </w:tc>
        <w:tc>
          <w:tcPr>
            <w:tcW w:w="4820" w:type="dxa"/>
          </w:tcPr>
          <w:p w:rsidR="007968CA" w:rsidRPr="00D93C8D" w:rsidRDefault="007968CA" w:rsidP="00107C7F">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Производственное обучение</w:t>
            </w:r>
          </w:p>
        </w:tc>
      </w:tr>
      <w:tr w:rsidR="007968CA" w:rsidRPr="00D93C8D" w:rsidTr="00107C7F">
        <w:tc>
          <w:tcPr>
            <w:tcW w:w="5098" w:type="dxa"/>
          </w:tcPr>
          <w:p w:rsidR="007968CA" w:rsidRPr="00D93C8D" w:rsidRDefault="007968CA" w:rsidP="00107C7F">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Пластическая анатомия</w:t>
            </w:r>
          </w:p>
        </w:tc>
        <w:tc>
          <w:tcPr>
            <w:tcW w:w="4820" w:type="dxa"/>
          </w:tcPr>
          <w:p w:rsidR="007968CA" w:rsidRPr="00D93C8D" w:rsidRDefault="007968CA" w:rsidP="00107C7F">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История народных промыслов и орнамента</w:t>
            </w:r>
          </w:p>
        </w:tc>
      </w:tr>
      <w:tr w:rsidR="007968CA" w:rsidRPr="00D93C8D" w:rsidTr="00107C7F">
        <w:tc>
          <w:tcPr>
            <w:tcW w:w="5098" w:type="dxa"/>
          </w:tcPr>
          <w:p w:rsidR="007968CA" w:rsidRPr="00D93C8D" w:rsidRDefault="007968CA" w:rsidP="00107C7F">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Изобразительное искусство Казахстана</w:t>
            </w:r>
          </w:p>
        </w:tc>
        <w:tc>
          <w:tcPr>
            <w:tcW w:w="4820" w:type="dxa"/>
          </w:tcPr>
          <w:p w:rsidR="007968CA" w:rsidRPr="00D93C8D" w:rsidRDefault="007968CA" w:rsidP="00107C7F">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Введение в специальность</w:t>
            </w:r>
          </w:p>
        </w:tc>
      </w:tr>
      <w:tr w:rsidR="007968CA" w:rsidRPr="00D93C8D" w:rsidTr="00107C7F">
        <w:tc>
          <w:tcPr>
            <w:tcW w:w="5098" w:type="dxa"/>
          </w:tcPr>
          <w:p w:rsidR="007968CA" w:rsidRPr="00D93C8D" w:rsidRDefault="007968CA" w:rsidP="00107C7F">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Производственная практика</w:t>
            </w:r>
          </w:p>
        </w:tc>
        <w:tc>
          <w:tcPr>
            <w:tcW w:w="4820" w:type="dxa"/>
          </w:tcPr>
          <w:p w:rsidR="007968CA" w:rsidRPr="00D93C8D" w:rsidRDefault="007968CA" w:rsidP="00107C7F">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Материаловедение и технология</w:t>
            </w:r>
          </w:p>
        </w:tc>
      </w:tr>
      <w:tr w:rsidR="007968CA" w:rsidRPr="00D93C8D" w:rsidTr="00107C7F">
        <w:tc>
          <w:tcPr>
            <w:tcW w:w="5098" w:type="dxa"/>
          </w:tcPr>
          <w:p w:rsidR="007968CA" w:rsidRPr="00D93C8D" w:rsidRDefault="007968CA" w:rsidP="00107C7F">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Музейная практика</w:t>
            </w:r>
          </w:p>
        </w:tc>
        <w:tc>
          <w:tcPr>
            <w:tcW w:w="4820" w:type="dxa"/>
          </w:tcPr>
          <w:p w:rsidR="007968CA" w:rsidRPr="00D93C8D" w:rsidRDefault="007968CA" w:rsidP="00107C7F">
            <w:pPr>
              <w:jc w:val="both"/>
              <w:rPr>
                <w:rFonts w:ascii="Times New Roman" w:hAnsi="Times New Roman" w:cs="Times New Roman"/>
                <w:sz w:val="28"/>
                <w:szCs w:val="24"/>
                <w:lang w:val="ru-RU"/>
              </w:rPr>
            </w:pPr>
          </w:p>
        </w:tc>
      </w:tr>
      <w:tr w:rsidR="007968CA" w:rsidRPr="00D93C8D" w:rsidTr="00107C7F">
        <w:tc>
          <w:tcPr>
            <w:tcW w:w="5098" w:type="dxa"/>
          </w:tcPr>
          <w:p w:rsidR="007968CA" w:rsidRPr="00D93C8D" w:rsidRDefault="007968CA" w:rsidP="00107C7F">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Преддипломная практика</w:t>
            </w:r>
          </w:p>
        </w:tc>
        <w:tc>
          <w:tcPr>
            <w:tcW w:w="4820" w:type="dxa"/>
          </w:tcPr>
          <w:p w:rsidR="007968CA" w:rsidRPr="00D93C8D" w:rsidRDefault="007968CA" w:rsidP="00107C7F">
            <w:pPr>
              <w:jc w:val="both"/>
              <w:rPr>
                <w:rFonts w:ascii="Times New Roman" w:hAnsi="Times New Roman" w:cs="Times New Roman"/>
                <w:sz w:val="28"/>
                <w:szCs w:val="24"/>
                <w:lang w:val="ru-RU"/>
              </w:rPr>
            </w:pPr>
          </w:p>
        </w:tc>
      </w:tr>
      <w:tr w:rsidR="007968CA" w:rsidRPr="00D93C8D" w:rsidTr="00107C7F">
        <w:tc>
          <w:tcPr>
            <w:tcW w:w="5098" w:type="dxa"/>
          </w:tcPr>
          <w:p w:rsidR="007968CA" w:rsidRPr="00D93C8D" w:rsidRDefault="007968CA" w:rsidP="00107C7F">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пленэр</w:t>
            </w:r>
          </w:p>
        </w:tc>
        <w:tc>
          <w:tcPr>
            <w:tcW w:w="4820" w:type="dxa"/>
          </w:tcPr>
          <w:p w:rsidR="007968CA" w:rsidRPr="00D93C8D" w:rsidRDefault="007968CA" w:rsidP="00107C7F">
            <w:pPr>
              <w:jc w:val="both"/>
              <w:rPr>
                <w:rFonts w:ascii="Times New Roman" w:hAnsi="Times New Roman" w:cs="Times New Roman"/>
                <w:sz w:val="28"/>
                <w:szCs w:val="24"/>
                <w:lang w:val="ru-RU"/>
              </w:rPr>
            </w:pPr>
          </w:p>
        </w:tc>
      </w:tr>
      <w:tr w:rsidR="007968CA" w:rsidRPr="00D93C8D" w:rsidTr="00107C7F">
        <w:tc>
          <w:tcPr>
            <w:tcW w:w="5098" w:type="dxa"/>
          </w:tcPr>
          <w:p w:rsidR="007968CA" w:rsidRPr="00D93C8D" w:rsidRDefault="007968CA" w:rsidP="00107C7F">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шрифт</w:t>
            </w:r>
          </w:p>
        </w:tc>
        <w:tc>
          <w:tcPr>
            <w:tcW w:w="4820" w:type="dxa"/>
          </w:tcPr>
          <w:p w:rsidR="007968CA" w:rsidRPr="00D93C8D" w:rsidRDefault="007968CA" w:rsidP="00107C7F">
            <w:pPr>
              <w:jc w:val="both"/>
              <w:rPr>
                <w:rFonts w:ascii="Times New Roman" w:hAnsi="Times New Roman" w:cs="Times New Roman"/>
                <w:sz w:val="28"/>
                <w:szCs w:val="24"/>
                <w:lang w:val="ru-RU"/>
              </w:rPr>
            </w:pPr>
          </w:p>
        </w:tc>
      </w:tr>
    </w:tbl>
    <w:p w:rsidR="007968CA" w:rsidRPr="00D93C8D" w:rsidRDefault="007968CA" w:rsidP="007968CA">
      <w:pPr>
        <w:spacing w:after="0"/>
        <w:jc w:val="both"/>
        <w:rPr>
          <w:rFonts w:ascii="Times New Roman" w:hAnsi="Times New Roman" w:cs="Times New Roman"/>
          <w:sz w:val="32"/>
          <w:szCs w:val="28"/>
          <w:lang w:val="ru-RU"/>
        </w:rPr>
      </w:pPr>
      <w:r w:rsidRPr="00D93C8D">
        <w:rPr>
          <w:rFonts w:ascii="Times New Roman" w:hAnsi="Times New Roman" w:cs="Times New Roman"/>
          <w:sz w:val="28"/>
          <w:szCs w:val="24"/>
          <w:lang w:val="ru-RU"/>
        </w:rPr>
        <w:t>Так же, есть специальные дисциплины, обучающиеся только по специальности «декоративно прикладное искусство и народные промыслы»:</w:t>
      </w:r>
    </w:p>
    <w:p w:rsidR="007968CA" w:rsidRPr="00D93C8D" w:rsidRDefault="007968CA" w:rsidP="007968CA">
      <w:pPr>
        <w:rPr>
          <w:sz w:val="24"/>
          <w:lang w:val="ru-RU"/>
        </w:rPr>
      </w:pPr>
    </w:p>
    <w:p w:rsidR="007968CA" w:rsidRPr="00D93C8D" w:rsidRDefault="007968CA" w:rsidP="007968CA">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Дисциплина «Композиция» - является одним из главных предметов специальности, дает обучающемуся понятие о основах изобразительной грамоты, обучает структуре построения и компоновки работы, дает понятие о стилях и видах искусства. Во время прохождения курса обучающиеся за счет выполнения упражнений, осваивают основы, техники, стили композиции.</w:t>
      </w:r>
    </w:p>
    <w:p w:rsidR="007968CA" w:rsidRPr="00D93C8D" w:rsidRDefault="007968CA" w:rsidP="007968CA">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 xml:space="preserve">Дисциплина «Производственное обучение»- основной предмет среди специальных дисциплин. Дает обучающимся основные практические навыки по специальности «Декоративно прикладное искусство». Обучает различным </w:t>
      </w:r>
      <w:r w:rsidRPr="00D93C8D">
        <w:rPr>
          <w:rFonts w:ascii="Times New Roman" w:hAnsi="Times New Roman" w:cs="Times New Roman"/>
          <w:sz w:val="28"/>
          <w:szCs w:val="24"/>
          <w:lang w:val="ru-RU"/>
        </w:rPr>
        <w:lastRenderedPageBreak/>
        <w:t>приемам и технологиям изготовления изделий, владению процессом изготовления, орг</w:t>
      </w:r>
      <w:r w:rsidRPr="00D93C8D">
        <w:rPr>
          <w:rFonts w:ascii="Times New Roman" w:hAnsi="Times New Roman" w:cs="Times New Roman"/>
          <w:sz w:val="28"/>
          <w:szCs w:val="24"/>
          <w:lang w:val="ru-RU"/>
        </w:rPr>
        <w:t>анизации рабочего пространства.</w:t>
      </w:r>
      <w:r w:rsidR="000E704B" w:rsidRPr="00D93C8D">
        <w:rPr>
          <w:rFonts w:ascii="Times New Roman" w:hAnsi="Times New Roman" w:cs="Times New Roman"/>
          <w:sz w:val="28"/>
          <w:szCs w:val="24"/>
          <w:lang w:val="ru-RU"/>
        </w:rPr>
        <w:t xml:space="preserve"> (каждая квалификация специализируется на своем: «художественная обработка металла» обучает основным приемам обработки металла, изготовлению изделий из металла (панно, ювелирные изделия, ножи, бляхи ремней, застежки и др. Изделия). </w:t>
      </w:r>
      <w:r w:rsidR="000E704B" w:rsidRPr="00D93C8D">
        <w:rPr>
          <w:rFonts w:ascii="Times New Roman" w:hAnsi="Times New Roman" w:cs="Times New Roman"/>
          <w:sz w:val="28"/>
          <w:szCs w:val="24"/>
          <w:lang w:val="ru-RU"/>
        </w:rPr>
        <w:t xml:space="preserve">«художественная обработка </w:t>
      </w:r>
      <w:r w:rsidR="000E704B" w:rsidRPr="00D93C8D">
        <w:rPr>
          <w:rFonts w:ascii="Times New Roman" w:hAnsi="Times New Roman" w:cs="Times New Roman"/>
          <w:sz w:val="28"/>
          <w:szCs w:val="24"/>
          <w:lang w:val="ru-RU"/>
        </w:rPr>
        <w:t>дерева</w:t>
      </w:r>
      <w:r w:rsidR="000E704B" w:rsidRPr="00D93C8D">
        <w:rPr>
          <w:rFonts w:ascii="Times New Roman" w:hAnsi="Times New Roman" w:cs="Times New Roman"/>
          <w:sz w:val="28"/>
          <w:szCs w:val="24"/>
          <w:lang w:val="ru-RU"/>
        </w:rPr>
        <w:t xml:space="preserve">» обучает основным приемам обработки </w:t>
      </w:r>
      <w:r w:rsidR="000E704B" w:rsidRPr="00D93C8D">
        <w:rPr>
          <w:rFonts w:ascii="Times New Roman" w:hAnsi="Times New Roman" w:cs="Times New Roman"/>
          <w:sz w:val="28"/>
          <w:szCs w:val="24"/>
          <w:lang w:val="ru-RU"/>
        </w:rPr>
        <w:t>дерева</w:t>
      </w:r>
      <w:r w:rsidR="000E704B" w:rsidRPr="00D93C8D">
        <w:rPr>
          <w:rFonts w:ascii="Times New Roman" w:hAnsi="Times New Roman" w:cs="Times New Roman"/>
          <w:sz w:val="28"/>
          <w:szCs w:val="24"/>
          <w:lang w:val="ru-RU"/>
        </w:rPr>
        <w:t xml:space="preserve">, изготовлению изделий из </w:t>
      </w:r>
      <w:r w:rsidR="000E704B" w:rsidRPr="00D93C8D">
        <w:rPr>
          <w:rFonts w:ascii="Times New Roman" w:hAnsi="Times New Roman" w:cs="Times New Roman"/>
          <w:sz w:val="28"/>
          <w:szCs w:val="24"/>
          <w:lang w:val="ru-RU"/>
        </w:rPr>
        <w:t xml:space="preserve">дерева (панно, музыкальные инструменты, национальная посуда, шкатулки и др. изделия) </w:t>
      </w:r>
      <w:r w:rsidR="000E704B" w:rsidRPr="00D93C8D">
        <w:rPr>
          <w:rFonts w:ascii="Times New Roman" w:hAnsi="Times New Roman" w:cs="Times New Roman"/>
          <w:sz w:val="28"/>
          <w:szCs w:val="24"/>
          <w:lang w:val="ru-RU"/>
        </w:rPr>
        <w:t>«художественн</w:t>
      </w:r>
      <w:r w:rsidR="000E704B" w:rsidRPr="00D93C8D">
        <w:rPr>
          <w:rFonts w:ascii="Times New Roman" w:hAnsi="Times New Roman" w:cs="Times New Roman"/>
          <w:sz w:val="28"/>
          <w:szCs w:val="24"/>
          <w:lang w:val="ru-RU"/>
        </w:rPr>
        <w:t>ое ткачество</w:t>
      </w:r>
      <w:r w:rsidR="000E704B" w:rsidRPr="00D93C8D">
        <w:rPr>
          <w:rFonts w:ascii="Times New Roman" w:hAnsi="Times New Roman" w:cs="Times New Roman"/>
          <w:sz w:val="28"/>
          <w:szCs w:val="24"/>
          <w:lang w:val="ru-RU"/>
        </w:rPr>
        <w:t xml:space="preserve">» обучает основным приемам </w:t>
      </w:r>
      <w:r w:rsidR="000E704B" w:rsidRPr="00D93C8D">
        <w:rPr>
          <w:rFonts w:ascii="Times New Roman" w:hAnsi="Times New Roman" w:cs="Times New Roman"/>
          <w:sz w:val="28"/>
          <w:szCs w:val="24"/>
          <w:lang w:val="ru-RU"/>
        </w:rPr>
        <w:t>изготовления изделий из текстиля (</w:t>
      </w:r>
      <w:proofErr w:type="spellStart"/>
      <w:r w:rsidR="000E704B" w:rsidRPr="00D93C8D">
        <w:rPr>
          <w:rFonts w:ascii="Times New Roman" w:hAnsi="Times New Roman" w:cs="Times New Roman"/>
          <w:sz w:val="28"/>
          <w:szCs w:val="24"/>
          <w:lang w:val="ru-RU"/>
        </w:rPr>
        <w:t>сырмак</w:t>
      </w:r>
      <w:proofErr w:type="spellEnd"/>
      <w:r w:rsidR="000E704B" w:rsidRPr="00D93C8D">
        <w:rPr>
          <w:rFonts w:ascii="Times New Roman" w:hAnsi="Times New Roman" w:cs="Times New Roman"/>
          <w:sz w:val="28"/>
          <w:szCs w:val="24"/>
          <w:lang w:val="ru-RU"/>
        </w:rPr>
        <w:t>, чий, гобелен, батик и др. изделий)</w:t>
      </w:r>
    </w:p>
    <w:p w:rsidR="007968CA" w:rsidRPr="00D93C8D" w:rsidRDefault="007968CA" w:rsidP="007968CA">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 xml:space="preserve">Дисциплина «История народных промыслов и орнамента»- Дает обучающимся понятия о казахских народных ремеслах, о понятие и видах орнамента. Обучает ориентироваться в традиционных и современных направлениях, течениях и явлениях в искусстве ремесла. </w:t>
      </w:r>
      <w:r w:rsidR="000E704B" w:rsidRPr="00D93C8D">
        <w:rPr>
          <w:rFonts w:ascii="Times New Roman" w:hAnsi="Times New Roman" w:cs="Times New Roman"/>
          <w:sz w:val="28"/>
          <w:szCs w:val="24"/>
          <w:lang w:val="ru-RU"/>
        </w:rPr>
        <w:t>Знакомит</w:t>
      </w:r>
      <w:r w:rsidRPr="00D93C8D">
        <w:rPr>
          <w:rFonts w:ascii="Times New Roman" w:hAnsi="Times New Roman" w:cs="Times New Roman"/>
          <w:sz w:val="28"/>
          <w:szCs w:val="24"/>
          <w:lang w:val="ru-RU"/>
        </w:rPr>
        <w:t xml:space="preserve"> обучающихся с историей ремесла и орнамента. </w:t>
      </w:r>
    </w:p>
    <w:p w:rsidR="007968CA" w:rsidRPr="00D93C8D" w:rsidRDefault="007968CA" w:rsidP="007968CA">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 xml:space="preserve">Дисциплина «Введение в специальность»- дает обучающемуся понятие о специальности «Декоративно прикладное искусство и народные промыслы (по профилю)». При прохождении курса обучения обучающийся узнает, что собой представляет выбранная им специальность, историю ее возникновения какие задачи она ставит. </w:t>
      </w:r>
    </w:p>
    <w:p w:rsidR="007968CA" w:rsidRPr="00D93C8D" w:rsidRDefault="007968CA" w:rsidP="007968CA">
      <w:pPr>
        <w:jc w:val="both"/>
        <w:rPr>
          <w:rFonts w:ascii="Times New Roman" w:hAnsi="Times New Roman" w:cs="Times New Roman"/>
          <w:sz w:val="28"/>
          <w:szCs w:val="24"/>
          <w:lang w:val="ru-RU"/>
        </w:rPr>
      </w:pPr>
      <w:r w:rsidRPr="00D93C8D">
        <w:rPr>
          <w:rFonts w:ascii="Times New Roman" w:hAnsi="Times New Roman" w:cs="Times New Roman"/>
          <w:sz w:val="28"/>
          <w:szCs w:val="24"/>
          <w:lang w:val="ru-RU"/>
        </w:rPr>
        <w:t xml:space="preserve">Дисциплина «материаловедение и технология»- При прохождении курса обучающиеся осваивают различные технологии обработки материалов и виды материалов, изучают их свойства и учатся применять их в изготовлении изделий. Курс обучает правильному подбору и применению материалов и технологий их обработки на практике. </w:t>
      </w:r>
    </w:p>
    <w:p w:rsidR="007968CA" w:rsidRPr="00D93C8D" w:rsidRDefault="007968CA" w:rsidP="007968CA">
      <w:pPr>
        <w:rPr>
          <w:rFonts w:ascii="Times New Roman" w:hAnsi="Times New Roman" w:cs="Times New Roman"/>
          <w:sz w:val="28"/>
          <w:szCs w:val="24"/>
          <w:lang w:val="ru-RU"/>
        </w:rPr>
      </w:pPr>
      <w:r w:rsidRPr="00D93C8D">
        <w:rPr>
          <w:rFonts w:ascii="Times New Roman" w:hAnsi="Times New Roman" w:cs="Times New Roman"/>
          <w:sz w:val="28"/>
          <w:szCs w:val="24"/>
          <w:lang w:val="ru-RU"/>
        </w:rPr>
        <w:t>Все дисциплины взаимосвязаны между собой, что дают комплекс знаний и навыков для освоения специальности.</w:t>
      </w:r>
    </w:p>
    <w:p w:rsidR="000E704B" w:rsidRPr="00D93C8D" w:rsidRDefault="000E704B" w:rsidP="007968CA">
      <w:pPr>
        <w:rPr>
          <w:rFonts w:ascii="Times New Roman" w:hAnsi="Times New Roman" w:cs="Times New Roman"/>
          <w:sz w:val="28"/>
          <w:szCs w:val="24"/>
          <w:lang w:val="ru-RU"/>
        </w:rPr>
      </w:pPr>
      <w:r w:rsidRPr="00D93C8D">
        <w:rPr>
          <w:rFonts w:ascii="Times New Roman" w:hAnsi="Times New Roman" w:cs="Times New Roman"/>
          <w:sz w:val="28"/>
          <w:szCs w:val="24"/>
          <w:lang w:val="ru-RU"/>
        </w:rPr>
        <w:t xml:space="preserve">По окончанию обучения каждый выпускник получает диплом о средне техническом профессиональном образовании и сертификат о присвоении квалификации «художник». </w:t>
      </w:r>
    </w:p>
    <w:p w:rsidR="000E704B" w:rsidRPr="00D93C8D" w:rsidRDefault="000E704B" w:rsidP="007968CA">
      <w:pPr>
        <w:rPr>
          <w:sz w:val="24"/>
          <w:lang w:val="ru-RU"/>
        </w:rPr>
      </w:pPr>
    </w:p>
    <w:sectPr w:rsidR="000E704B" w:rsidRPr="00D93C8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41"/>
    <w:rsid w:val="000E704B"/>
    <w:rsid w:val="00303795"/>
    <w:rsid w:val="007968CA"/>
    <w:rsid w:val="00AC4FC4"/>
    <w:rsid w:val="00B70341"/>
    <w:rsid w:val="00D93C8D"/>
    <w:rsid w:val="00FC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B296"/>
  <w15:chartTrackingRefBased/>
  <w15:docId w15:val="{786FD4AA-94E1-4AFD-8039-8746098A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9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2021-12-09T15:06:00Z</dcterms:created>
  <dcterms:modified xsi:type="dcterms:W3CDTF">2021-12-09T16:56:00Z</dcterms:modified>
</cp:coreProperties>
</file>